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2EB" w:rsidRPr="004812EB" w:rsidRDefault="004812EB" w:rsidP="004812EB">
      <w:pPr>
        <w:jc w:val="right"/>
        <w:rPr>
          <w:sz w:val="22"/>
          <w:szCs w:val="22"/>
          <w:rtl/>
        </w:rPr>
      </w:pPr>
      <w:r>
        <w:rPr>
          <w:rFonts w:hint="eastAsia"/>
          <w:sz w:val="26"/>
          <w:szCs w:val="26"/>
          <w:rtl/>
        </w:rPr>
        <w:t>‏</w:t>
      </w:r>
      <w:bookmarkStart w:id="0" w:name="_GoBack"/>
      <w:r w:rsidRPr="004812EB">
        <w:rPr>
          <w:sz w:val="22"/>
          <w:szCs w:val="22"/>
          <w:rtl/>
        </w:rPr>
        <w:t>07 נובמבר 2023</w:t>
      </w:r>
      <w:r w:rsidRPr="004812EB">
        <w:rPr>
          <w:rFonts w:hint="eastAsia"/>
          <w:sz w:val="22"/>
          <w:szCs w:val="22"/>
          <w:rtl/>
        </w:rPr>
        <w:t>‏</w:t>
      </w:r>
    </w:p>
    <w:p w:rsidR="0016438C" w:rsidRPr="004812EB" w:rsidRDefault="004812EB" w:rsidP="004812EB">
      <w:pPr>
        <w:jc w:val="right"/>
        <w:rPr>
          <w:sz w:val="22"/>
          <w:szCs w:val="22"/>
        </w:rPr>
      </w:pPr>
      <w:r w:rsidRPr="004812EB">
        <w:rPr>
          <w:rFonts w:hint="eastAsia"/>
          <w:sz w:val="22"/>
          <w:szCs w:val="22"/>
          <w:rtl/>
        </w:rPr>
        <w:t>כ</w:t>
      </w:r>
      <w:r w:rsidRPr="004812EB">
        <w:rPr>
          <w:sz w:val="22"/>
          <w:szCs w:val="22"/>
          <w:rtl/>
        </w:rPr>
        <w:t>"ג חשון תשפ"ד</w:t>
      </w:r>
    </w:p>
    <w:tbl>
      <w:tblPr>
        <w:tblStyle w:val="a6"/>
        <w:bidiVisual/>
        <w:tblW w:w="8820" w:type="dxa"/>
        <w:jc w:val="center"/>
        <w:tblInd w:w="0" w:type="dxa"/>
        <w:tblLook w:val="01E0" w:firstRow="1" w:lastRow="1" w:firstColumn="1" w:lastColumn="1" w:noHBand="0" w:noVBand="0"/>
      </w:tblPr>
      <w:tblGrid>
        <w:gridCol w:w="8820"/>
      </w:tblGrid>
      <w:tr w:rsidR="000A1BB9" w:rsidRPr="00A052F7" w:rsidTr="000A1BB9">
        <w:trPr>
          <w:trHeight w:val="355"/>
          <w:jc w:val="center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9C1CD8" w:rsidRPr="009C1CD8" w:rsidRDefault="000A1BB9" w:rsidP="009C1CD8">
            <w:pPr>
              <w:jc w:val="center"/>
              <w:rPr>
                <w:rFonts w:ascii="FrankRuehl" w:hAnsi="FrankRuehl" w:cs="FrankRuehl"/>
                <w:b/>
                <w:bCs/>
                <w:color w:val="002060"/>
                <w:sz w:val="28"/>
                <w:szCs w:val="28"/>
                <w:u w:val="single"/>
                <w:rtl/>
              </w:rPr>
            </w:pPr>
            <w:r w:rsidRPr="009C1CD8">
              <w:rPr>
                <w:rFonts w:ascii="FrankRuehl" w:hAnsi="FrankRuehl" w:cs="FrankRuehl"/>
                <w:b/>
                <w:bCs/>
                <w:color w:val="002060"/>
                <w:sz w:val="28"/>
                <w:szCs w:val="28"/>
                <w:u w:val="single"/>
                <w:rtl/>
              </w:rPr>
              <w:t xml:space="preserve">תקציר גזר-דין תפ"ח 50308-06-22 </w:t>
            </w:r>
          </w:p>
          <w:p w:rsidR="000A1BB9" w:rsidRPr="009C1CD8" w:rsidRDefault="000A1BB9" w:rsidP="009C1CD8">
            <w:pPr>
              <w:jc w:val="center"/>
              <w:rPr>
                <w:rFonts w:ascii="FrankRuehl" w:hAnsi="FrankRuehl" w:cs="FrankRuehl"/>
                <w:b/>
                <w:bCs/>
                <w:color w:val="002060"/>
                <w:sz w:val="28"/>
                <w:szCs w:val="28"/>
                <w:u w:val="single"/>
                <w:rtl/>
              </w:rPr>
            </w:pPr>
            <w:r w:rsidRPr="009C1CD8">
              <w:rPr>
                <w:rFonts w:ascii="FrankRuehl" w:hAnsi="FrankRuehl" w:cs="FrankRuehl"/>
                <w:b/>
                <w:bCs/>
                <w:color w:val="002060"/>
                <w:sz w:val="28"/>
                <w:szCs w:val="28"/>
                <w:u w:val="single"/>
                <w:rtl/>
              </w:rPr>
              <w:t>מדינת ישראל נ' אבוטבול</w:t>
            </w:r>
          </w:p>
          <w:p w:rsidR="009C1CD8" w:rsidRPr="009C1CD8" w:rsidRDefault="009C1CD8">
            <w:pPr>
              <w:jc w:val="center"/>
              <w:rPr>
                <w:rFonts w:ascii="FrankRuehl" w:hAnsi="FrankRuehl" w:cs="FrankRuehl"/>
                <w:b/>
                <w:bCs/>
                <w:color w:val="002060"/>
                <w:sz w:val="28"/>
                <w:szCs w:val="28"/>
                <w:u w:val="single"/>
              </w:rPr>
            </w:pPr>
            <w:r w:rsidRPr="009C1CD8">
              <w:rPr>
                <w:rFonts w:ascii="FrankRuehl" w:hAnsi="FrankRuehl" w:cs="FrankRuehl"/>
                <w:b/>
                <w:bCs/>
                <w:color w:val="002060"/>
                <w:sz w:val="28"/>
                <w:szCs w:val="28"/>
                <w:u w:val="single"/>
                <w:rtl/>
              </w:rPr>
              <w:t>אב"ד השופט חגי טרסי, השופט עידו דרויאן גמליאל, השופטת הדס רוזנברג שיינרט</w:t>
            </w:r>
          </w:p>
          <w:p w:rsidR="000A1BB9" w:rsidRPr="00A052F7" w:rsidRDefault="000A1BB9">
            <w:pPr>
              <w:jc w:val="center"/>
              <w:rPr>
                <w:rFonts w:ascii="David" w:hAnsi="David"/>
                <w:b/>
                <w:bCs/>
                <w:sz w:val="26"/>
                <w:szCs w:val="26"/>
                <w:u w:val="single"/>
                <w:rtl/>
              </w:rPr>
            </w:pPr>
          </w:p>
          <w:p w:rsidR="000A1BB9" w:rsidRPr="00A052F7" w:rsidRDefault="000A1BB9">
            <w:pPr>
              <w:jc w:val="center"/>
              <w:rPr>
                <w:rFonts w:ascii="David" w:hAnsi="David"/>
                <w:b/>
                <w:bCs/>
                <w:sz w:val="26"/>
                <w:szCs w:val="26"/>
                <w:u w:val="single"/>
                <w:rtl/>
              </w:rPr>
            </w:pPr>
          </w:p>
          <w:p w:rsidR="000A1BB9" w:rsidRPr="00A052F7" w:rsidRDefault="00A052F7" w:rsidP="00BA756B">
            <w:pPr>
              <w:spacing w:line="360" w:lineRule="auto"/>
              <w:jc w:val="both"/>
              <w:rPr>
                <w:rFonts w:ascii="David" w:hAnsi="David"/>
                <w:b/>
                <w:bCs/>
                <w:sz w:val="26"/>
                <w:szCs w:val="26"/>
                <w:rtl/>
              </w:rPr>
            </w:pPr>
            <w:r w:rsidRPr="00A052F7">
              <w:rPr>
                <w:rFonts w:ascii="David" w:hAnsi="David" w:hint="cs"/>
                <w:b/>
                <w:bCs/>
                <w:sz w:val="26"/>
                <w:szCs w:val="26"/>
                <w:rtl/>
              </w:rPr>
              <w:t xml:space="preserve">הרכב של שלושה שופטים בבית המשפט המחוזי מרכז בלוד גזר היום את עונשיהם של שני צעירים, שאחד מהם נשפט כקטין, שהורשעו בביצוע עבירות מין חמורות בקטינה בת שלוש-עשרה וחצי שנים. יוסף-חיים אבוטבול ירצה עונש מאסר של שמונה שנים, והקטין (ששמו אסור בפרסום) ירצה עונש מאסר של </w:t>
            </w:r>
            <w:r w:rsidR="00BA756B">
              <w:rPr>
                <w:rFonts w:ascii="David" w:hAnsi="David" w:hint="cs"/>
                <w:b/>
                <w:bCs/>
                <w:sz w:val="26"/>
                <w:szCs w:val="26"/>
                <w:rtl/>
              </w:rPr>
              <w:t>שלוש</w:t>
            </w:r>
            <w:r w:rsidRPr="00A052F7">
              <w:rPr>
                <w:rFonts w:ascii="David" w:hAnsi="David" w:hint="cs"/>
                <w:b/>
                <w:bCs/>
                <w:sz w:val="26"/>
                <w:szCs w:val="26"/>
                <w:rtl/>
              </w:rPr>
              <w:t xml:space="preserve"> וחצי שנים. שני הנאשמים גם חויבו בתשלום פיצויים לקטינה.</w:t>
            </w:r>
          </w:p>
          <w:p w:rsidR="000A1BB9" w:rsidRPr="00A052F7" w:rsidRDefault="000A1BB9">
            <w:pPr>
              <w:spacing w:line="360" w:lineRule="auto"/>
              <w:jc w:val="both"/>
              <w:rPr>
                <w:rFonts w:ascii="David" w:hAnsi="David"/>
                <w:b/>
                <w:bCs/>
                <w:sz w:val="26"/>
                <w:szCs w:val="26"/>
                <w:rtl/>
              </w:rPr>
            </w:pPr>
          </w:p>
        </w:tc>
      </w:tr>
    </w:tbl>
    <w:p w:rsidR="0016438C" w:rsidRDefault="0016438C" w:rsidP="00A052F7">
      <w:pPr>
        <w:spacing w:after="240" w:line="360" w:lineRule="auto"/>
        <w:jc w:val="both"/>
        <w:rPr>
          <w:sz w:val="26"/>
          <w:szCs w:val="26"/>
          <w:rtl/>
        </w:rPr>
      </w:pPr>
      <w:r w:rsidRPr="00A052F7">
        <w:rPr>
          <w:rFonts w:ascii="David" w:hAnsi="David" w:hint="cs"/>
          <w:sz w:val="26"/>
          <w:szCs w:val="26"/>
          <w:rtl/>
        </w:rPr>
        <w:t xml:space="preserve">תיק זה, שהסתיים עתה בגזירת עונשיהם של שני נאשמים, עסק בפרשה קשה של ביצוע עבירות-מין חמורות בנערה צעירה. </w:t>
      </w:r>
      <w:r w:rsidR="00A052F7" w:rsidRPr="00A052F7">
        <w:rPr>
          <w:rFonts w:ascii="David" w:hAnsi="David" w:hint="cs"/>
          <w:sz w:val="26"/>
          <w:szCs w:val="26"/>
          <w:rtl/>
        </w:rPr>
        <w:t xml:space="preserve">אבוטבול </w:t>
      </w:r>
      <w:r w:rsidR="000A1BB9" w:rsidRPr="00CD4C3C">
        <w:rPr>
          <w:rFonts w:ascii="David" w:hAnsi="David"/>
          <w:sz w:val="26"/>
          <w:szCs w:val="26"/>
          <w:rtl/>
        </w:rPr>
        <w:t xml:space="preserve">היה </w:t>
      </w:r>
      <w:r w:rsidR="00495133" w:rsidRPr="00A052F7">
        <w:rPr>
          <w:rFonts w:ascii="David" w:hAnsi="David"/>
          <w:sz w:val="26"/>
          <w:szCs w:val="26"/>
          <w:rtl/>
        </w:rPr>
        <w:t xml:space="preserve">בן 19 </w:t>
      </w:r>
      <w:r w:rsidR="00495133" w:rsidRPr="00A052F7">
        <w:rPr>
          <w:rFonts w:ascii="David" w:hAnsi="David" w:hint="cs"/>
          <w:sz w:val="26"/>
          <w:szCs w:val="26"/>
          <w:rtl/>
        </w:rPr>
        <w:t xml:space="preserve">שנים </w:t>
      </w:r>
      <w:r w:rsidR="00A052F7" w:rsidRPr="00A052F7">
        <w:rPr>
          <w:rFonts w:ascii="David" w:hAnsi="David"/>
          <w:sz w:val="26"/>
          <w:szCs w:val="26"/>
          <w:rtl/>
        </w:rPr>
        <w:t>וארבעה חודשים</w:t>
      </w:r>
      <w:r w:rsidR="00495133" w:rsidRPr="00A052F7">
        <w:rPr>
          <w:rFonts w:ascii="David" w:hAnsi="David"/>
          <w:sz w:val="26"/>
          <w:szCs w:val="26"/>
          <w:rtl/>
        </w:rPr>
        <w:t xml:space="preserve"> </w:t>
      </w:r>
      <w:r w:rsidR="000A1BB9" w:rsidRPr="00CD4C3C">
        <w:rPr>
          <w:rFonts w:ascii="David" w:hAnsi="David"/>
          <w:sz w:val="26"/>
          <w:szCs w:val="26"/>
          <w:rtl/>
        </w:rPr>
        <w:t>ו</w:t>
      </w:r>
      <w:r w:rsidR="00A052F7" w:rsidRPr="00A052F7">
        <w:rPr>
          <w:rFonts w:ascii="David" w:hAnsi="David" w:hint="cs"/>
          <w:sz w:val="26"/>
          <w:szCs w:val="26"/>
          <w:rtl/>
        </w:rPr>
        <w:t xml:space="preserve">הקטין </w:t>
      </w:r>
      <w:r w:rsidR="000A1BB9" w:rsidRPr="00CD4C3C">
        <w:rPr>
          <w:rFonts w:ascii="David" w:hAnsi="David"/>
          <w:sz w:val="26"/>
          <w:szCs w:val="26"/>
          <w:rtl/>
        </w:rPr>
        <w:t xml:space="preserve">היה בן 15 </w:t>
      </w:r>
      <w:r w:rsidR="00495133" w:rsidRPr="00A052F7">
        <w:rPr>
          <w:rFonts w:ascii="David" w:hAnsi="David" w:hint="cs"/>
          <w:sz w:val="26"/>
          <w:szCs w:val="26"/>
          <w:rtl/>
        </w:rPr>
        <w:t xml:space="preserve">שנים </w:t>
      </w:r>
      <w:r w:rsidR="000A1BB9" w:rsidRPr="00CD4C3C">
        <w:rPr>
          <w:rFonts w:ascii="David" w:hAnsi="David"/>
          <w:sz w:val="26"/>
          <w:szCs w:val="26"/>
          <w:rtl/>
        </w:rPr>
        <w:t>ושלושה חודשים</w:t>
      </w:r>
      <w:r w:rsidR="00A052F7" w:rsidRPr="00A052F7">
        <w:rPr>
          <w:rFonts w:ascii="David" w:hAnsi="David" w:hint="cs"/>
          <w:sz w:val="26"/>
          <w:szCs w:val="26"/>
          <w:rtl/>
        </w:rPr>
        <w:t>, כשביצעו את העבירות, בהן הודו במסגרת הסדר טיעון, ללא הסכמה לעונש</w:t>
      </w:r>
      <w:r w:rsidR="000A1BB9" w:rsidRPr="00CD4C3C">
        <w:rPr>
          <w:rFonts w:ascii="David" w:hAnsi="David"/>
          <w:sz w:val="26"/>
          <w:szCs w:val="26"/>
          <w:rtl/>
        </w:rPr>
        <w:t xml:space="preserve">. </w:t>
      </w:r>
      <w:r w:rsidRPr="00A052F7">
        <w:rPr>
          <w:rFonts w:ascii="David" w:hAnsi="David" w:hint="cs"/>
          <w:sz w:val="26"/>
          <w:szCs w:val="26"/>
          <w:rtl/>
        </w:rPr>
        <w:t xml:space="preserve">בין </w:t>
      </w:r>
      <w:r w:rsidR="000A1BB9" w:rsidRPr="00CD4C3C">
        <w:rPr>
          <w:rFonts w:ascii="David" w:hAnsi="David"/>
          <w:sz w:val="26"/>
          <w:szCs w:val="26"/>
          <w:rtl/>
        </w:rPr>
        <w:t>הנאשמים</w:t>
      </w:r>
      <w:r w:rsidRPr="00A052F7">
        <w:rPr>
          <w:rFonts w:ascii="David" w:hAnsi="David" w:hint="cs"/>
          <w:sz w:val="26"/>
          <w:szCs w:val="26"/>
          <w:rtl/>
        </w:rPr>
        <w:t xml:space="preserve"> </w:t>
      </w:r>
      <w:r w:rsidR="000A1BB9" w:rsidRPr="00CD4C3C">
        <w:rPr>
          <w:rFonts w:ascii="David" w:hAnsi="David"/>
          <w:sz w:val="26"/>
          <w:szCs w:val="26"/>
          <w:rtl/>
        </w:rPr>
        <w:t>לבין הקטינה</w:t>
      </w:r>
      <w:r w:rsidRPr="00A052F7">
        <w:rPr>
          <w:rFonts w:ascii="David" w:hAnsi="David" w:hint="cs"/>
          <w:sz w:val="26"/>
          <w:szCs w:val="26"/>
          <w:rtl/>
        </w:rPr>
        <w:t xml:space="preserve"> </w:t>
      </w:r>
      <w:proofErr w:type="spellStart"/>
      <w:r w:rsidR="00A052F7" w:rsidRPr="00A052F7">
        <w:rPr>
          <w:rFonts w:ascii="David" w:hAnsi="David" w:hint="cs"/>
          <w:sz w:val="26"/>
          <w:szCs w:val="26"/>
          <w:rtl/>
        </w:rPr>
        <w:t>היתה</w:t>
      </w:r>
      <w:proofErr w:type="spellEnd"/>
      <w:r w:rsidR="00A052F7" w:rsidRPr="00A052F7">
        <w:rPr>
          <w:rFonts w:ascii="David" w:hAnsi="David" w:hint="cs"/>
          <w:sz w:val="26"/>
          <w:szCs w:val="26"/>
          <w:rtl/>
        </w:rPr>
        <w:t xml:space="preserve"> </w:t>
      </w:r>
      <w:r w:rsidR="000A1BB9" w:rsidRPr="00CD4C3C">
        <w:rPr>
          <w:rFonts w:ascii="David" w:hAnsi="David"/>
          <w:sz w:val="26"/>
          <w:szCs w:val="26"/>
          <w:rtl/>
        </w:rPr>
        <w:t xml:space="preserve">היכרות מוקדמת </w:t>
      </w:r>
      <w:r w:rsidR="00A052F7" w:rsidRPr="00A052F7">
        <w:rPr>
          <w:rFonts w:ascii="David" w:hAnsi="David" w:hint="cs"/>
          <w:sz w:val="26"/>
          <w:szCs w:val="26"/>
          <w:rtl/>
        </w:rPr>
        <w:t>של</w:t>
      </w:r>
      <w:r w:rsidR="000A1BB9" w:rsidRPr="00CD4C3C">
        <w:rPr>
          <w:rFonts w:ascii="David" w:hAnsi="David"/>
          <w:sz w:val="26"/>
          <w:szCs w:val="26"/>
          <w:rtl/>
        </w:rPr>
        <w:t xml:space="preserve"> מפגשים אקראיים.</w:t>
      </w:r>
      <w:r w:rsidR="000A1BB9" w:rsidRPr="00A052F7">
        <w:rPr>
          <w:rFonts w:ascii="David" w:hAnsi="David" w:hint="cs"/>
          <w:sz w:val="26"/>
          <w:szCs w:val="26"/>
          <w:rtl/>
        </w:rPr>
        <w:t xml:space="preserve"> </w:t>
      </w:r>
      <w:r w:rsidRPr="00A052F7">
        <w:rPr>
          <w:sz w:val="26"/>
          <w:szCs w:val="26"/>
          <w:rtl/>
        </w:rPr>
        <w:t>ביום 04.09.20</w:t>
      </w:r>
      <w:r w:rsidR="000A1BB9" w:rsidRPr="00CD4C3C">
        <w:rPr>
          <w:sz w:val="26"/>
          <w:szCs w:val="26"/>
          <w:rtl/>
        </w:rPr>
        <w:t xml:space="preserve"> </w:t>
      </w:r>
      <w:r w:rsidRPr="00A052F7">
        <w:rPr>
          <w:rFonts w:hint="cs"/>
          <w:sz w:val="26"/>
          <w:szCs w:val="26"/>
          <w:rtl/>
        </w:rPr>
        <w:t xml:space="preserve">החליטו הנאשמים </w:t>
      </w:r>
      <w:r w:rsidR="000A1BB9" w:rsidRPr="00CD4C3C">
        <w:rPr>
          <w:sz w:val="26"/>
          <w:szCs w:val="26"/>
          <w:rtl/>
        </w:rPr>
        <w:t>לקיים עם הקטינה יחסי מין, מבלי שסיפרו לקטינה על-כך ומבלי</w:t>
      </w:r>
      <w:r w:rsidRPr="00A052F7">
        <w:rPr>
          <w:sz w:val="26"/>
          <w:szCs w:val="26"/>
          <w:rtl/>
        </w:rPr>
        <w:t xml:space="preserve"> שבדקו את שאלת הסכמתה. </w:t>
      </w:r>
      <w:r w:rsidRPr="00A052F7">
        <w:rPr>
          <w:rFonts w:hint="cs"/>
          <w:sz w:val="26"/>
          <w:szCs w:val="26"/>
          <w:rtl/>
        </w:rPr>
        <w:t xml:space="preserve">כדי לממש את </w:t>
      </w:r>
      <w:proofErr w:type="spellStart"/>
      <w:r w:rsidRPr="00A052F7">
        <w:rPr>
          <w:rFonts w:hint="cs"/>
          <w:sz w:val="26"/>
          <w:szCs w:val="26"/>
          <w:rtl/>
        </w:rPr>
        <w:t>תוכניתם</w:t>
      </w:r>
      <w:proofErr w:type="spellEnd"/>
      <w:r w:rsidR="000A1BB9" w:rsidRPr="00CD4C3C">
        <w:rPr>
          <w:sz w:val="26"/>
          <w:szCs w:val="26"/>
          <w:rtl/>
        </w:rPr>
        <w:t xml:space="preserve">, פנה </w:t>
      </w:r>
      <w:r w:rsidR="00A052F7" w:rsidRPr="00A052F7">
        <w:rPr>
          <w:rFonts w:hint="cs"/>
          <w:sz w:val="26"/>
          <w:szCs w:val="26"/>
          <w:rtl/>
        </w:rPr>
        <w:t xml:space="preserve">הקטין </w:t>
      </w:r>
      <w:r w:rsidR="000A1BB9" w:rsidRPr="00CD4C3C">
        <w:rPr>
          <w:sz w:val="26"/>
          <w:szCs w:val="26"/>
          <w:rtl/>
        </w:rPr>
        <w:t>לקטינה, ביקש ממנה להתלוות אליו, ושניהם רכבו</w:t>
      </w:r>
      <w:r w:rsidR="00A052F7" w:rsidRPr="00A052F7">
        <w:rPr>
          <w:sz w:val="26"/>
          <w:szCs w:val="26"/>
          <w:rtl/>
        </w:rPr>
        <w:t xml:space="preserve"> יחד על אופניו החשמליי</w:t>
      </w:r>
      <w:r w:rsidR="00A052F7" w:rsidRPr="00A052F7">
        <w:rPr>
          <w:rFonts w:hint="cs"/>
          <w:sz w:val="26"/>
          <w:szCs w:val="26"/>
          <w:rtl/>
        </w:rPr>
        <w:t>ם</w:t>
      </w:r>
      <w:r w:rsidR="000A1BB9" w:rsidRPr="00CD4C3C">
        <w:rPr>
          <w:sz w:val="26"/>
          <w:szCs w:val="26"/>
          <w:rtl/>
        </w:rPr>
        <w:t xml:space="preserve"> לביתו של </w:t>
      </w:r>
      <w:r w:rsidR="00A052F7" w:rsidRPr="00A052F7">
        <w:rPr>
          <w:rFonts w:hint="cs"/>
          <w:sz w:val="26"/>
          <w:szCs w:val="26"/>
          <w:rtl/>
        </w:rPr>
        <w:t>אבוטבול</w:t>
      </w:r>
      <w:r w:rsidR="000A1BB9" w:rsidRPr="00CD4C3C">
        <w:rPr>
          <w:sz w:val="26"/>
          <w:szCs w:val="26"/>
          <w:rtl/>
        </w:rPr>
        <w:t>.</w:t>
      </w:r>
      <w:r w:rsidR="000A1BB9" w:rsidRPr="00A052F7">
        <w:rPr>
          <w:rFonts w:hint="cs"/>
          <w:sz w:val="26"/>
          <w:szCs w:val="26"/>
          <w:rtl/>
        </w:rPr>
        <w:t xml:space="preserve"> </w:t>
      </w:r>
      <w:r w:rsidR="000A1BB9" w:rsidRPr="00CD4C3C">
        <w:rPr>
          <w:sz w:val="26"/>
          <w:szCs w:val="26"/>
          <w:rtl/>
        </w:rPr>
        <w:t xml:space="preserve">כשהגיעו </w:t>
      </w:r>
      <w:r w:rsidR="00A052F7" w:rsidRPr="00A052F7">
        <w:rPr>
          <w:rFonts w:hint="cs"/>
          <w:sz w:val="26"/>
          <w:szCs w:val="26"/>
          <w:rtl/>
        </w:rPr>
        <w:t xml:space="preserve">הקטין </w:t>
      </w:r>
      <w:r w:rsidR="000A1BB9" w:rsidRPr="00CD4C3C">
        <w:rPr>
          <w:sz w:val="26"/>
          <w:szCs w:val="26"/>
          <w:rtl/>
        </w:rPr>
        <w:t xml:space="preserve">והקטינה למקום, </w:t>
      </w:r>
      <w:r w:rsidR="00A052F7" w:rsidRPr="00A052F7">
        <w:rPr>
          <w:rFonts w:hint="cs"/>
          <w:sz w:val="26"/>
          <w:szCs w:val="26"/>
          <w:rtl/>
        </w:rPr>
        <w:t>ביצעו שני הנאשמים</w:t>
      </w:r>
      <w:r w:rsidR="000A1BB9" w:rsidRPr="00A052F7">
        <w:rPr>
          <w:rFonts w:hint="cs"/>
          <w:sz w:val="26"/>
          <w:szCs w:val="26"/>
          <w:rtl/>
        </w:rPr>
        <w:t xml:space="preserve"> בקטינה עבירות חוזרות של אינוס ו</w:t>
      </w:r>
      <w:r w:rsidRPr="00A052F7">
        <w:rPr>
          <w:rFonts w:hint="cs"/>
          <w:sz w:val="26"/>
          <w:szCs w:val="26"/>
          <w:rtl/>
        </w:rPr>
        <w:t>עבירות-מין חמורות נוספות</w:t>
      </w:r>
      <w:r w:rsidR="000A1BB9" w:rsidRPr="00A052F7">
        <w:rPr>
          <w:rFonts w:hint="cs"/>
          <w:sz w:val="26"/>
          <w:szCs w:val="26"/>
          <w:rtl/>
        </w:rPr>
        <w:t xml:space="preserve">, </w:t>
      </w:r>
      <w:r w:rsidRPr="00A052F7">
        <w:rPr>
          <w:rFonts w:hint="cs"/>
          <w:sz w:val="26"/>
          <w:szCs w:val="26"/>
          <w:rtl/>
        </w:rPr>
        <w:t xml:space="preserve">שלא בהסכמתה, תוך שסירבו לבקשותיה שיניחו לה ללכת, </w:t>
      </w:r>
      <w:r w:rsidR="000A1BB9" w:rsidRPr="00A052F7">
        <w:rPr>
          <w:rFonts w:hint="cs"/>
          <w:sz w:val="26"/>
          <w:szCs w:val="26"/>
          <w:rtl/>
        </w:rPr>
        <w:t xml:space="preserve">נהגו בה </w:t>
      </w:r>
      <w:r w:rsidR="000A1BB9" w:rsidRPr="00CD4C3C">
        <w:rPr>
          <w:sz w:val="26"/>
          <w:szCs w:val="26"/>
          <w:rtl/>
        </w:rPr>
        <w:t xml:space="preserve">באלימות, משכו בשערותיה </w:t>
      </w:r>
      <w:r w:rsidR="000A1BB9" w:rsidRPr="00A052F7">
        <w:rPr>
          <w:rFonts w:hint="cs"/>
          <w:sz w:val="26"/>
          <w:szCs w:val="26"/>
          <w:rtl/>
        </w:rPr>
        <w:t>ו</w:t>
      </w:r>
      <w:r w:rsidR="000A1BB9" w:rsidRPr="00CD4C3C">
        <w:rPr>
          <w:sz w:val="26"/>
          <w:szCs w:val="26"/>
          <w:rtl/>
        </w:rPr>
        <w:t>היכו אותה</w:t>
      </w:r>
      <w:r w:rsidR="000A1BB9" w:rsidRPr="00A052F7">
        <w:rPr>
          <w:rFonts w:hint="cs"/>
          <w:sz w:val="26"/>
          <w:szCs w:val="26"/>
          <w:rtl/>
        </w:rPr>
        <w:t xml:space="preserve">. </w:t>
      </w:r>
      <w:r w:rsidRPr="00A052F7">
        <w:rPr>
          <w:rFonts w:hint="cs"/>
          <w:sz w:val="26"/>
          <w:szCs w:val="26"/>
          <w:rtl/>
        </w:rPr>
        <w:t xml:space="preserve">בנוסף, </w:t>
      </w:r>
      <w:r w:rsidR="000A1BB9" w:rsidRPr="00A052F7">
        <w:rPr>
          <w:rFonts w:hint="cs"/>
          <w:sz w:val="26"/>
          <w:szCs w:val="26"/>
          <w:rtl/>
        </w:rPr>
        <w:t xml:space="preserve">הנאשם 1 צילם את מעשיהם של הנאשמים בקטינה, באמצעות הטלפון הנייד שלו, על-אף בקשותיה שיפסיק. </w:t>
      </w:r>
      <w:r w:rsidR="000A1BB9" w:rsidRPr="00CD4C3C">
        <w:rPr>
          <w:sz w:val="26"/>
          <w:szCs w:val="26"/>
          <w:rtl/>
        </w:rPr>
        <w:t xml:space="preserve">למחרת </w:t>
      </w:r>
      <w:r w:rsidR="000A1BB9" w:rsidRPr="00A052F7">
        <w:rPr>
          <w:rFonts w:hint="cs"/>
          <w:sz w:val="26"/>
          <w:szCs w:val="26"/>
          <w:rtl/>
        </w:rPr>
        <w:t xml:space="preserve">היום שלח נאשם 1 את הסרטונים שצילם </w:t>
      </w:r>
      <w:r w:rsidR="000A1BB9" w:rsidRPr="00CD4C3C">
        <w:rPr>
          <w:sz w:val="26"/>
          <w:szCs w:val="26"/>
          <w:rtl/>
        </w:rPr>
        <w:t xml:space="preserve">לקבוצת </w:t>
      </w:r>
      <w:proofErr w:type="spellStart"/>
      <w:r w:rsidR="000A1BB9" w:rsidRPr="00CD4C3C">
        <w:rPr>
          <w:sz w:val="26"/>
          <w:szCs w:val="26"/>
          <w:rtl/>
        </w:rPr>
        <w:t>וואטסאפ</w:t>
      </w:r>
      <w:proofErr w:type="spellEnd"/>
      <w:r w:rsidR="000A1BB9" w:rsidRPr="00CD4C3C">
        <w:rPr>
          <w:sz w:val="26"/>
          <w:szCs w:val="26"/>
          <w:rtl/>
        </w:rPr>
        <w:t xml:space="preserve"> המשותפת לחמישה אנשי קשר. מקבוצה זו הופצו הסרטונים לאחרים, שצפו בהם והפיצו אותם הלאה.</w:t>
      </w:r>
      <w:r w:rsidRPr="00A052F7">
        <w:rPr>
          <w:rFonts w:hint="cs"/>
          <w:sz w:val="26"/>
          <w:szCs w:val="26"/>
          <w:rtl/>
        </w:rPr>
        <w:t xml:space="preserve"> </w:t>
      </w:r>
      <w:r w:rsidR="00A052F7" w:rsidRPr="00A052F7">
        <w:rPr>
          <w:rFonts w:hint="cs"/>
          <w:sz w:val="26"/>
          <w:szCs w:val="26"/>
          <w:rtl/>
        </w:rPr>
        <w:t xml:space="preserve"> </w:t>
      </w:r>
      <w:r w:rsidRPr="00A052F7">
        <w:rPr>
          <w:sz w:val="26"/>
          <w:szCs w:val="26"/>
          <w:rtl/>
        </w:rPr>
        <w:t xml:space="preserve"> </w:t>
      </w:r>
      <w:r w:rsidRPr="00A052F7">
        <w:rPr>
          <w:rFonts w:hint="cs"/>
          <w:sz w:val="26"/>
          <w:szCs w:val="26"/>
          <w:rtl/>
        </w:rPr>
        <w:t xml:space="preserve"> </w:t>
      </w:r>
    </w:p>
    <w:p w:rsidR="009C1CD8" w:rsidRPr="009C66FC" w:rsidRDefault="009C1CD8" w:rsidP="00CD4C3C">
      <w:pPr>
        <w:spacing w:after="240" w:line="360" w:lineRule="auto"/>
        <w:jc w:val="both"/>
        <w:rPr>
          <w:rFonts w:ascii="David" w:hAnsi="David"/>
          <w:sz w:val="26"/>
          <w:szCs w:val="26"/>
        </w:rPr>
      </w:pPr>
      <w:r w:rsidRPr="009C66FC">
        <w:rPr>
          <w:rFonts w:ascii="David" w:hAnsi="David"/>
          <w:sz w:val="26"/>
          <w:szCs w:val="26"/>
          <w:rtl/>
        </w:rPr>
        <w:t xml:space="preserve">שירות המבחן אפיין את </w:t>
      </w:r>
      <w:r w:rsidRPr="009C66FC">
        <w:rPr>
          <w:rFonts w:ascii="David" w:hAnsi="David" w:hint="eastAsia"/>
          <w:sz w:val="26"/>
          <w:szCs w:val="26"/>
          <w:rtl/>
        </w:rPr>
        <w:t>העבירות</w:t>
      </w:r>
      <w:r w:rsidRPr="009C66FC">
        <w:rPr>
          <w:rFonts w:ascii="David" w:hAnsi="David"/>
          <w:sz w:val="26"/>
          <w:szCs w:val="26"/>
          <w:rtl/>
        </w:rPr>
        <w:t xml:space="preserve"> כ"בעלות אלמנטים של ס</w:t>
      </w:r>
      <w:r w:rsidRPr="009C66FC">
        <w:rPr>
          <w:rFonts w:ascii="David" w:hAnsi="David" w:hint="eastAsia"/>
          <w:sz w:val="26"/>
          <w:szCs w:val="26"/>
          <w:rtl/>
        </w:rPr>
        <w:t>א</w:t>
      </w:r>
      <w:r w:rsidRPr="009C66FC">
        <w:rPr>
          <w:rFonts w:ascii="David" w:hAnsi="David"/>
          <w:sz w:val="26"/>
          <w:szCs w:val="26"/>
          <w:rtl/>
        </w:rPr>
        <w:t>דיזם, איומים ואכזריות"</w:t>
      </w:r>
      <w:r>
        <w:rPr>
          <w:rFonts w:ascii="David" w:hAnsi="David" w:hint="cs"/>
          <w:sz w:val="26"/>
          <w:szCs w:val="26"/>
          <w:rtl/>
        </w:rPr>
        <w:t>, ה</w:t>
      </w:r>
      <w:r w:rsidRPr="009C66FC">
        <w:rPr>
          <w:rFonts w:ascii="David" w:hAnsi="David"/>
          <w:sz w:val="26"/>
          <w:szCs w:val="26"/>
          <w:rtl/>
        </w:rPr>
        <w:t>מצביעים על מידה חריגה בעוצמתה של פגיעה בערכים המוגנים בעבירות המין.</w:t>
      </w:r>
    </w:p>
    <w:p w:rsidR="009C1CD8" w:rsidRPr="009C1CD8" w:rsidRDefault="000A1BB9" w:rsidP="009C1CD8">
      <w:pPr>
        <w:spacing w:after="240" w:line="360" w:lineRule="auto"/>
        <w:jc w:val="both"/>
        <w:rPr>
          <w:rFonts w:ascii="David" w:hAnsi="David"/>
          <w:sz w:val="26"/>
          <w:szCs w:val="26"/>
        </w:rPr>
      </w:pPr>
      <w:r w:rsidRPr="00A052F7">
        <w:rPr>
          <w:rFonts w:ascii="David" w:hAnsi="David" w:hint="cs"/>
          <w:sz w:val="26"/>
          <w:szCs w:val="26"/>
          <w:rtl/>
        </w:rPr>
        <w:t>חומרתן של עבירות המין, שביצעו הנאשמים בקטינה, גדולה מאוד ומזיקה מאוד</w:t>
      </w:r>
      <w:r w:rsidR="0016438C" w:rsidRPr="00A052F7">
        <w:rPr>
          <w:rFonts w:ascii="David" w:hAnsi="David" w:hint="cs"/>
          <w:sz w:val="26"/>
          <w:szCs w:val="26"/>
          <w:rtl/>
        </w:rPr>
        <w:t>, והדברים ידועים</w:t>
      </w:r>
      <w:r w:rsidRPr="00A052F7">
        <w:rPr>
          <w:rFonts w:ascii="David" w:hAnsi="David" w:hint="cs"/>
          <w:sz w:val="26"/>
          <w:szCs w:val="26"/>
          <w:rtl/>
        </w:rPr>
        <w:t xml:space="preserve">. </w:t>
      </w:r>
      <w:r w:rsidR="00A052F7" w:rsidRPr="00A052F7">
        <w:rPr>
          <w:rFonts w:ascii="David" w:hAnsi="David" w:hint="cs"/>
          <w:sz w:val="26"/>
          <w:szCs w:val="26"/>
          <w:rtl/>
        </w:rPr>
        <w:t xml:space="preserve">הפצתם של </w:t>
      </w:r>
      <w:r w:rsidRPr="00A052F7">
        <w:rPr>
          <w:rFonts w:ascii="David" w:hAnsi="David"/>
          <w:sz w:val="26"/>
          <w:szCs w:val="26"/>
          <w:rtl/>
        </w:rPr>
        <w:t xml:space="preserve">תצלומים וסרטונים </w:t>
      </w:r>
      <w:r w:rsidR="00A052F7" w:rsidRPr="00A052F7">
        <w:rPr>
          <w:rFonts w:ascii="David" w:hAnsi="David" w:hint="cs"/>
          <w:sz w:val="26"/>
          <w:szCs w:val="26"/>
          <w:rtl/>
        </w:rPr>
        <w:t xml:space="preserve">מיניים </w:t>
      </w:r>
      <w:r w:rsidRPr="00A052F7">
        <w:rPr>
          <w:rFonts w:ascii="David" w:hAnsi="David"/>
          <w:sz w:val="26"/>
          <w:szCs w:val="26"/>
          <w:rtl/>
        </w:rPr>
        <w:t xml:space="preserve">ללא הסכמת המתועד, </w:t>
      </w:r>
      <w:r w:rsidR="00A052F7" w:rsidRPr="00A052F7">
        <w:rPr>
          <w:rFonts w:ascii="David" w:hAnsi="David" w:hint="cs"/>
          <w:sz w:val="26"/>
          <w:szCs w:val="26"/>
          <w:rtl/>
        </w:rPr>
        <w:t xml:space="preserve">מתבררת </w:t>
      </w:r>
      <w:r w:rsidRPr="00A052F7">
        <w:rPr>
          <w:rFonts w:ascii="David" w:hAnsi="David"/>
          <w:sz w:val="26"/>
          <w:szCs w:val="26"/>
          <w:rtl/>
        </w:rPr>
        <w:t xml:space="preserve">כתופעה נפוצה שפגיעתה רבה מאוד, </w:t>
      </w:r>
      <w:r w:rsidR="00A052F7" w:rsidRPr="00A052F7">
        <w:rPr>
          <w:rFonts w:ascii="David" w:hAnsi="David" w:hint="cs"/>
          <w:sz w:val="26"/>
          <w:szCs w:val="26"/>
          <w:rtl/>
        </w:rPr>
        <w:t>ש</w:t>
      </w:r>
      <w:r w:rsidRPr="00A052F7">
        <w:rPr>
          <w:rFonts w:ascii="David" w:hAnsi="David"/>
          <w:sz w:val="26"/>
          <w:szCs w:val="26"/>
          <w:rtl/>
        </w:rPr>
        <w:t>הולכת ו</w:t>
      </w:r>
      <w:r w:rsidR="00A052F7" w:rsidRPr="00A052F7">
        <w:rPr>
          <w:rFonts w:ascii="David" w:hAnsi="David" w:hint="cs"/>
          <w:sz w:val="26"/>
          <w:szCs w:val="26"/>
          <w:rtl/>
        </w:rPr>
        <w:t>מתגברת עם הזמן</w:t>
      </w:r>
      <w:r w:rsidRPr="00A052F7">
        <w:rPr>
          <w:rFonts w:ascii="David" w:hAnsi="David"/>
          <w:sz w:val="26"/>
          <w:szCs w:val="26"/>
          <w:rtl/>
        </w:rPr>
        <w:t xml:space="preserve">, </w:t>
      </w:r>
      <w:r w:rsidR="00A052F7" w:rsidRPr="00A052F7">
        <w:rPr>
          <w:rFonts w:ascii="David" w:hAnsi="David" w:hint="cs"/>
          <w:sz w:val="26"/>
          <w:szCs w:val="26"/>
          <w:rtl/>
        </w:rPr>
        <w:t xml:space="preserve">שכן </w:t>
      </w:r>
      <w:r w:rsidRPr="00A052F7">
        <w:rPr>
          <w:rFonts w:ascii="David" w:hAnsi="David"/>
          <w:sz w:val="26"/>
          <w:szCs w:val="26"/>
          <w:rtl/>
        </w:rPr>
        <w:t>הפרסום המשפיל עובר ומופץ שוב ושוב</w:t>
      </w:r>
      <w:r w:rsidR="00A052F7" w:rsidRPr="00A052F7">
        <w:rPr>
          <w:rFonts w:ascii="David" w:hAnsi="David" w:hint="cs"/>
          <w:sz w:val="26"/>
          <w:szCs w:val="26"/>
          <w:rtl/>
        </w:rPr>
        <w:t xml:space="preserve"> באינטרנט וברשתות חברתיות</w:t>
      </w:r>
      <w:r w:rsidRPr="00A052F7">
        <w:rPr>
          <w:rFonts w:ascii="David" w:hAnsi="David"/>
          <w:sz w:val="26"/>
          <w:szCs w:val="26"/>
          <w:rtl/>
        </w:rPr>
        <w:t xml:space="preserve">, ללא יכולת של-ממש לעצרו או להעלימו. </w:t>
      </w:r>
      <w:r w:rsidRPr="00CD4C3C">
        <w:rPr>
          <w:rFonts w:ascii="David" w:hAnsi="David"/>
          <w:sz w:val="26"/>
          <w:szCs w:val="26"/>
          <w:rtl/>
        </w:rPr>
        <w:t xml:space="preserve">טיבן של פגיעות פיזיות, ואף של מרבית הפגיעות הנפשיות, להעלות ארוכה עם הזמן. לא כך פגיעה זו בפרטיותה ובצנעת הפרט של הקטינה, שהולכת ומחמירה עם הזמן, ככל שמעגלי הפרסום </w:t>
      </w:r>
      <w:r w:rsidRPr="00CD4C3C">
        <w:rPr>
          <w:rFonts w:ascii="David" w:hAnsi="David"/>
          <w:sz w:val="26"/>
          <w:szCs w:val="26"/>
          <w:rtl/>
        </w:rPr>
        <w:lastRenderedPageBreak/>
        <w:t>ושיתוף הקבצים הולכים ומתרחבים.</w:t>
      </w:r>
      <w:r w:rsidR="00CD4C3C">
        <w:rPr>
          <w:rFonts w:ascii="David" w:hAnsi="David" w:hint="cs"/>
          <w:sz w:val="26"/>
          <w:szCs w:val="26"/>
          <w:rtl/>
        </w:rPr>
        <w:t xml:space="preserve"> </w:t>
      </w:r>
      <w:r w:rsidR="009C1CD8" w:rsidRPr="009C1CD8">
        <w:rPr>
          <w:rFonts w:ascii="David" w:hAnsi="David"/>
          <w:sz w:val="26"/>
          <w:szCs w:val="26"/>
          <w:rtl/>
        </w:rPr>
        <w:t xml:space="preserve">הפריצה המתמדת של תגובות אנשים לתחומה הפרטי של הקטינה, גורמת לחוויה של חזרה בלתי-פוסקת של הפגיעה הקשה. </w:t>
      </w:r>
    </w:p>
    <w:p w:rsidR="000A1BB9" w:rsidRPr="00A052F7" w:rsidRDefault="00A052F7" w:rsidP="00A052F7">
      <w:pPr>
        <w:spacing w:after="240" w:line="360" w:lineRule="auto"/>
        <w:jc w:val="both"/>
        <w:rPr>
          <w:rFonts w:ascii="David" w:hAnsi="David"/>
          <w:sz w:val="26"/>
          <w:szCs w:val="26"/>
          <w:rtl/>
        </w:rPr>
      </w:pPr>
      <w:r w:rsidRPr="00CD4C3C">
        <w:rPr>
          <w:rFonts w:ascii="David" w:hAnsi="David"/>
          <w:sz w:val="26"/>
          <w:szCs w:val="26"/>
          <w:rtl/>
        </w:rPr>
        <w:t>ההשלכות הנפשיות של הפגיעה</w:t>
      </w:r>
      <w:r w:rsidRPr="00A052F7">
        <w:rPr>
          <w:rFonts w:ascii="David" w:hAnsi="David" w:hint="cs"/>
          <w:sz w:val="26"/>
          <w:szCs w:val="26"/>
          <w:rtl/>
        </w:rPr>
        <w:t xml:space="preserve"> בקטינה</w:t>
      </w:r>
      <w:r w:rsidRPr="00CD4C3C">
        <w:rPr>
          <w:rFonts w:ascii="David" w:hAnsi="David"/>
          <w:sz w:val="26"/>
          <w:szCs w:val="26"/>
          <w:rtl/>
        </w:rPr>
        <w:t xml:space="preserve"> רחבות ועמוקות</w:t>
      </w:r>
      <w:r w:rsidRPr="00A052F7">
        <w:rPr>
          <w:rFonts w:ascii="David" w:hAnsi="David" w:hint="cs"/>
          <w:sz w:val="26"/>
          <w:szCs w:val="26"/>
          <w:rtl/>
        </w:rPr>
        <w:t xml:space="preserve">, אך היא </w:t>
      </w:r>
      <w:r w:rsidR="000A1BB9" w:rsidRPr="00CD4C3C">
        <w:rPr>
          <w:rFonts w:ascii="David" w:hAnsi="David"/>
          <w:sz w:val="26"/>
          <w:szCs w:val="26"/>
          <w:rtl/>
        </w:rPr>
        <w:t>מבקשת להעביר מסר של עוצמה וכוח</w:t>
      </w:r>
      <w:r w:rsidRPr="00A052F7">
        <w:rPr>
          <w:rFonts w:ascii="David" w:hAnsi="David" w:hint="cs"/>
          <w:sz w:val="26"/>
          <w:szCs w:val="26"/>
          <w:rtl/>
        </w:rPr>
        <w:t xml:space="preserve">, מתנגדת לתיוגה כקורבן ואינה נותנת למעשי הנאשמים לשלוט בחייה. הוריי הקטינה </w:t>
      </w:r>
      <w:r w:rsidR="000A1BB9" w:rsidRPr="00CD4C3C">
        <w:rPr>
          <w:rFonts w:ascii="David" w:hAnsi="David"/>
          <w:sz w:val="26"/>
          <w:szCs w:val="26"/>
          <w:rtl/>
        </w:rPr>
        <w:t xml:space="preserve"> התגייסו לסייע ל</w:t>
      </w:r>
      <w:r w:rsidRPr="00A052F7">
        <w:rPr>
          <w:rFonts w:ascii="David" w:hAnsi="David" w:hint="cs"/>
          <w:sz w:val="26"/>
          <w:szCs w:val="26"/>
          <w:rtl/>
        </w:rPr>
        <w:t xml:space="preserve">ה </w:t>
      </w:r>
      <w:r w:rsidR="000A1BB9" w:rsidRPr="00CD4C3C">
        <w:rPr>
          <w:rFonts w:ascii="David" w:hAnsi="David"/>
          <w:sz w:val="26"/>
          <w:szCs w:val="26"/>
          <w:rtl/>
        </w:rPr>
        <w:t>והם תומכים בה ללא סייג, אך גם הם משלמים מחירים כבדים</w:t>
      </w:r>
      <w:r w:rsidR="00495133" w:rsidRPr="00A052F7">
        <w:rPr>
          <w:rFonts w:ascii="David" w:hAnsi="David" w:hint="cs"/>
          <w:sz w:val="26"/>
          <w:szCs w:val="26"/>
          <w:rtl/>
        </w:rPr>
        <w:t>, נפשיים ואחרים</w:t>
      </w:r>
      <w:r w:rsidR="000A1BB9" w:rsidRPr="00CD4C3C">
        <w:rPr>
          <w:rFonts w:ascii="David" w:hAnsi="David"/>
          <w:sz w:val="26"/>
          <w:szCs w:val="26"/>
          <w:rtl/>
        </w:rPr>
        <w:t>.</w:t>
      </w:r>
    </w:p>
    <w:p w:rsidR="00A052F7" w:rsidRPr="00A052F7" w:rsidRDefault="00A052F7" w:rsidP="00A052F7">
      <w:pPr>
        <w:spacing w:after="240" w:line="360" w:lineRule="auto"/>
        <w:jc w:val="both"/>
        <w:rPr>
          <w:rFonts w:ascii="David" w:hAnsi="David"/>
          <w:sz w:val="26"/>
          <w:szCs w:val="26"/>
          <w:rtl/>
        </w:rPr>
      </w:pPr>
      <w:r w:rsidRPr="00A052F7">
        <w:rPr>
          <w:rFonts w:ascii="David" w:hAnsi="David" w:hint="cs"/>
          <w:sz w:val="26"/>
          <w:szCs w:val="26"/>
          <w:rtl/>
        </w:rPr>
        <w:t>עונשיהם של שני הנאשמים הושפעו מהודאותיהם במיוחס להם, כך שהקטינה לא נדרשה להעיד בבית המשפט</w:t>
      </w:r>
      <w:r w:rsidR="00BA756B">
        <w:rPr>
          <w:rFonts w:ascii="David" w:hAnsi="David" w:hint="cs"/>
          <w:sz w:val="26"/>
          <w:szCs w:val="26"/>
          <w:rtl/>
        </w:rPr>
        <w:t>, ומגילם הצעיר. הקטין נשפט לשלוש</w:t>
      </w:r>
      <w:r w:rsidRPr="00A052F7">
        <w:rPr>
          <w:rFonts w:ascii="David" w:hAnsi="David" w:hint="cs"/>
          <w:sz w:val="26"/>
          <w:szCs w:val="26"/>
          <w:rtl/>
        </w:rPr>
        <w:t xml:space="preserve"> וחצי שנות מאסר לנוכח חומרתן של העבירות, שביצע בקטינה באופן משפיל ואלים כדי לחזק את מעמדו החברתי ולהרשים את אבוטבול, וכשלדבריו הוא "אינו רגיל לשמוע סירובים".</w:t>
      </w:r>
    </w:p>
    <w:p w:rsidR="0016438C" w:rsidRPr="00A052F7" w:rsidRDefault="004E181D" w:rsidP="00A052F7">
      <w:pPr>
        <w:spacing w:after="240" w:line="360" w:lineRule="auto"/>
        <w:jc w:val="both"/>
        <w:rPr>
          <w:rFonts w:ascii="David" w:hAnsi="David"/>
          <w:sz w:val="26"/>
          <w:szCs w:val="26"/>
        </w:rPr>
      </w:pPr>
      <w:r w:rsidRPr="00A052F7">
        <w:rPr>
          <w:rFonts w:ascii="David" w:hAnsi="David" w:hint="cs"/>
          <w:sz w:val="26"/>
          <w:szCs w:val="26"/>
          <w:rtl/>
        </w:rPr>
        <w:t>בית המשפט הביע תקוותו, שהעונשים החמורים ירתיעו גם אחרים מביצוע עבירות מסוג זה.</w:t>
      </w:r>
    </w:p>
    <w:p w:rsidR="009C1CD8" w:rsidRDefault="009C1CD8" w:rsidP="00A052F7">
      <w:pPr>
        <w:spacing w:after="240" w:line="360" w:lineRule="auto"/>
        <w:jc w:val="both"/>
        <w:rPr>
          <w:rFonts w:ascii="David" w:hAnsi="David"/>
          <w:sz w:val="26"/>
          <w:szCs w:val="26"/>
          <w:rtl/>
        </w:rPr>
      </w:pPr>
    </w:p>
    <w:p w:rsidR="009C1CD8" w:rsidRPr="000071E5" w:rsidRDefault="009C1CD8" w:rsidP="009C1CD8">
      <w:pPr>
        <w:spacing w:after="120" w:line="360" w:lineRule="auto"/>
        <w:jc w:val="center"/>
        <w:rPr>
          <w:rFonts w:ascii="FrankRuehl" w:hAnsi="FrankRuehl" w:cs="FrankRuehl"/>
          <w:b/>
          <w:bCs/>
          <w:color w:val="002060"/>
          <w:sz w:val="26"/>
          <w:szCs w:val="26"/>
        </w:rPr>
      </w:pPr>
      <w:r w:rsidRPr="000071E5"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 xml:space="preserve">*** </w:t>
      </w:r>
      <w:r w:rsidRPr="000071E5">
        <w:rPr>
          <w:rFonts w:ascii="FrankRuehl" w:hAnsi="FrankRuehl" w:cs="FrankRuehl"/>
          <w:b/>
          <w:bCs/>
          <w:color w:val="002060"/>
          <w:sz w:val="26"/>
          <w:szCs w:val="26"/>
          <w:rtl/>
        </w:rPr>
        <w:t xml:space="preserve">התקציר אינו בא להחליף את </w:t>
      </w:r>
      <w:r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>גזר</w:t>
      </w:r>
      <w:r w:rsidRPr="000071E5"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>-</w:t>
      </w:r>
      <w:r w:rsidRPr="000071E5">
        <w:rPr>
          <w:rFonts w:ascii="FrankRuehl" w:hAnsi="FrankRuehl" w:cs="FrankRuehl"/>
          <w:b/>
          <w:bCs/>
          <w:color w:val="002060"/>
          <w:sz w:val="26"/>
          <w:szCs w:val="26"/>
          <w:rtl/>
        </w:rPr>
        <w:t xml:space="preserve">הדין, הנוסח המחייב הוא זה של </w:t>
      </w:r>
      <w:r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>גזר</w:t>
      </w:r>
      <w:r w:rsidRPr="000071E5">
        <w:rPr>
          <w:rFonts w:ascii="FrankRuehl" w:hAnsi="FrankRuehl" w:cs="FrankRuehl"/>
          <w:b/>
          <w:bCs/>
          <w:color w:val="002060"/>
          <w:sz w:val="26"/>
          <w:szCs w:val="26"/>
          <w:rtl/>
        </w:rPr>
        <w:t>-הדין המלא</w:t>
      </w:r>
      <w:r w:rsidRPr="000071E5">
        <w:rPr>
          <w:rFonts w:ascii="FrankRuehl" w:hAnsi="FrankRuehl" w:cs="FrankRuehl" w:hint="cs"/>
          <w:b/>
          <w:bCs/>
          <w:color w:val="002060"/>
          <w:sz w:val="26"/>
          <w:szCs w:val="26"/>
          <w:rtl/>
        </w:rPr>
        <w:t xml:space="preserve"> ***</w:t>
      </w:r>
    </w:p>
    <w:p w:rsidR="009C1CD8" w:rsidRPr="009C1CD8" w:rsidRDefault="009C1CD8" w:rsidP="00A052F7">
      <w:pPr>
        <w:spacing w:after="240" w:line="360" w:lineRule="auto"/>
        <w:jc w:val="both"/>
        <w:rPr>
          <w:rFonts w:ascii="David" w:hAnsi="David"/>
          <w:sz w:val="26"/>
          <w:szCs w:val="26"/>
        </w:rPr>
      </w:pPr>
    </w:p>
    <w:sectPr w:rsidR="009C1CD8" w:rsidRPr="009C1CD8" w:rsidSect="005833C9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F6F" w:rsidRDefault="00B16F6F" w:rsidP="009C1CD8">
      <w:r>
        <w:separator/>
      </w:r>
    </w:p>
  </w:endnote>
  <w:endnote w:type="continuationSeparator" w:id="0">
    <w:p w:rsidR="00B16F6F" w:rsidRDefault="00B16F6F" w:rsidP="009C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 TUR">
    <w:altName w:val="Arial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F6F" w:rsidRDefault="00B16F6F" w:rsidP="009C1CD8">
      <w:r>
        <w:separator/>
      </w:r>
    </w:p>
  </w:footnote>
  <w:footnote w:type="continuationSeparator" w:id="0">
    <w:p w:rsidR="00B16F6F" w:rsidRDefault="00B16F6F" w:rsidP="009C1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CD8" w:rsidRPr="005253B2" w:rsidRDefault="009C1CD8" w:rsidP="009C1CD8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rPr>
        <w:sz w:val="20"/>
        <w:lang w:eastAsia="he-IL"/>
      </w:rPr>
    </w:pPr>
    <w:r w:rsidRPr="005253B2">
      <w:rPr>
        <w:noProof/>
        <w:sz w:val="20"/>
      </w:rPr>
      <w:drawing>
        <wp:inline distT="0" distB="0" distL="0" distR="0" wp14:anchorId="3B7ED5F8" wp14:editId="0BE3605E">
          <wp:extent cx="523875" cy="619125"/>
          <wp:effectExtent l="0" t="0" r="9525" b="9525"/>
          <wp:docPr id="1" name="תמונה 2" descr="תיאור: sem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 descr="תיאור: sem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253B2">
      <w:rPr>
        <w:rFonts w:ascii="Century" w:hAnsi="Century" w:cs="FrankRuehl" w:hint="cs"/>
        <w:noProof/>
        <w:spacing w:val="10"/>
        <w:sz w:val="20"/>
        <w:szCs w:val="28"/>
        <w:rtl/>
        <w:lang w:eastAsia="he-IL"/>
      </w:rPr>
      <w:t xml:space="preserve">                                            </w:t>
    </w:r>
  </w:p>
  <w:p w:rsidR="009C1CD8" w:rsidRPr="005253B2" w:rsidRDefault="009C1CD8" w:rsidP="009C1CD8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rPr>
        <w:rFonts w:cs="FrankRuehl"/>
        <w:b/>
        <w:bCs/>
        <w:color w:val="000080"/>
        <w:spacing w:val="6"/>
        <w:sz w:val="28"/>
        <w:szCs w:val="28"/>
        <w:rtl/>
        <w:lang w:eastAsia="he-IL"/>
      </w:rPr>
    </w:pPr>
    <w:r w:rsidRPr="005253B2">
      <w:rPr>
        <w:rFonts w:cs="FrankRuehl" w:hint="cs"/>
        <w:b/>
        <w:bCs/>
        <w:color w:val="000080"/>
        <w:spacing w:val="6"/>
        <w:sz w:val="28"/>
        <w:szCs w:val="28"/>
        <w:rtl/>
        <w:lang w:eastAsia="he-IL"/>
      </w:rPr>
      <w:t>מערכת בתי המשפט</w:t>
    </w:r>
  </w:p>
  <w:p w:rsidR="009C1CD8" w:rsidRPr="009C1CD8" w:rsidRDefault="009C1CD8" w:rsidP="009C1CD8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rPr>
        <w:rFonts w:cs="FrankRuehl"/>
        <w:b/>
        <w:bCs/>
        <w:color w:val="000080"/>
        <w:spacing w:val="6"/>
        <w:sz w:val="28"/>
        <w:szCs w:val="28"/>
        <w:rtl/>
        <w:cs/>
        <w:lang w:eastAsia="he-IL"/>
      </w:rPr>
    </w:pPr>
    <w:r w:rsidRPr="005253B2">
      <w:rPr>
        <w:rFonts w:cs="FrankRuehl" w:hint="cs"/>
        <w:b/>
        <w:bCs/>
        <w:color w:val="000080"/>
        <w:spacing w:val="6"/>
        <w:sz w:val="28"/>
        <w:szCs w:val="28"/>
        <w:rtl/>
        <w:lang w:eastAsia="he-IL"/>
      </w:rPr>
      <w:t>דוברות והסברה</w:t>
    </w:r>
  </w:p>
  <w:p w:rsidR="009C1CD8" w:rsidRDefault="009C1CD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803C8"/>
    <w:multiLevelType w:val="hybridMultilevel"/>
    <w:tmpl w:val="B5E6E75A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3">
      <w:start w:val="1"/>
      <w:numFmt w:val="hebrew1"/>
      <w:lvlText w:val="%2."/>
      <w:lvlJc w:val="center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010DC"/>
    <w:multiLevelType w:val="hybridMultilevel"/>
    <w:tmpl w:val="498CF430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3">
      <w:start w:val="1"/>
      <w:numFmt w:val="hebrew1"/>
      <w:lvlText w:val="%2."/>
      <w:lvlJc w:val="center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>
      <w:start w:val="1"/>
      <w:numFmt w:val="lowerLetter"/>
      <w:lvlText w:val="%5."/>
      <w:lvlJc w:val="left"/>
      <w:pPr>
        <w:ind w:left="3243" w:hanging="360"/>
      </w:pPr>
    </w:lvl>
    <w:lvl w:ilvl="5" w:tplc="0409001B">
      <w:start w:val="1"/>
      <w:numFmt w:val="lowerRoman"/>
      <w:lvlText w:val="%6."/>
      <w:lvlJc w:val="right"/>
      <w:pPr>
        <w:ind w:left="3963" w:hanging="180"/>
      </w:pPr>
    </w:lvl>
    <w:lvl w:ilvl="6" w:tplc="0409000F">
      <w:start w:val="1"/>
      <w:numFmt w:val="decimal"/>
      <w:lvlText w:val="%7."/>
      <w:lvlJc w:val="left"/>
      <w:pPr>
        <w:ind w:left="4683" w:hanging="360"/>
      </w:pPr>
    </w:lvl>
    <w:lvl w:ilvl="7" w:tplc="04090019">
      <w:start w:val="1"/>
      <w:numFmt w:val="lowerLetter"/>
      <w:lvlText w:val="%8."/>
      <w:lvlJc w:val="left"/>
      <w:pPr>
        <w:ind w:left="5403" w:hanging="360"/>
      </w:pPr>
    </w:lvl>
    <w:lvl w:ilvl="8" w:tplc="0409001B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560E2BD1"/>
    <w:multiLevelType w:val="hybridMultilevel"/>
    <w:tmpl w:val="790671BC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3">
      <w:start w:val="1"/>
      <w:numFmt w:val="hebrew1"/>
      <w:lvlText w:val="%2."/>
      <w:lvlJc w:val="center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8D6322"/>
    <w:multiLevelType w:val="hybridMultilevel"/>
    <w:tmpl w:val="9BF21F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184"/>
    <w:rsid w:val="000A1BB9"/>
    <w:rsid w:val="0016438C"/>
    <w:rsid w:val="00370AA5"/>
    <w:rsid w:val="004812EB"/>
    <w:rsid w:val="00495133"/>
    <w:rsid w:val="004E181D"/>
    <w:rsid w:val="005833C9"/>
    <w:rsid w:val="009C1CD8"/>
    <w:rsid w:val="009C7184"/>
    <w:rsid w:val="00A052F7"/>
    <w:rsid w:val="00A42623"/>
    <w:rsid w:val="00B13F05"/>
    <w:rsid w:val="00B16F6F"/>
    <w:rsid w:val="00BA756B"/>
    <w:rsid w:val="00CD4C3C"/>
    <w:rsid w:val="00FA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B1060"/>
  <w15:chartTrackingRefBased/>
  <w15:docId w15:val="{4FE9BD6F-A2E3-476E-8C30-79CB24DB6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BB9"/>
    <w:pPr>
      <w:bidi/>
      <w:spacing w:after="0" w:line="240" w:lineRule="auto"/>
    </w:pPr>
    <w:rPr>
      <w:rFonts w:ascii="Times New Roman" w:eastAsia="Times New Roman" w:hAnsi="Times New Roman" w:cs="Davi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0A1BB9"/>
    <w:rPr>
      <w:rFonts w:ascii="Times New Roman" w:hAnsi="Times New Roman" w:cs="Times New Roman" w:hint="default"/>
      <w:color w:val="0000FF"/>
      <w:u w:val="single"/>
    </w:rPr>
  </w:style>
  <w:style w:type="paragraph" w:styleId="a3">
    <w:name w:val="List Paragraph"/>
    <w:basedOn w:val="a"/>
    <w:uiPriority w:val="34"/>
    <w:qFormat/>
    <w:rsid w:val="000A1BB9"/>
    <w:pPr>
      <w:ind w:left="720"/>
      <w:contextualSpacing/>
    </w:pPr>
  </w:style>
  <w:style w:type="character" w:customStyle="1" w:styleId="a4">
    <w:name w:val="ציטוטעד תו"/>
    <w:basedOn w:val="a0"/>
    <w:link w:val="a5"/>
    <w:locked/>
    <w:rsid w:val="000A1BB9"/>
    <w:rPr>
      <w:b/>
      <w:bCs/>
      <w:sz w:val="24"/>
      <w:szCs w:val="24"/>
    </w:rPr>
  </w:style>
  <w:style w:type="paragraph" w:customStyle="1" w:styleId="a5">
    <w:name w:val="ציטוטעד"/>
    <w:basedOn w:val="a"/>
    <w:link w:val="a4"/>
    <w:rsid w:val="000A1BB9"/>
    <w:pPr>
      <w:spacing w:line="360" w:lineRule="auto"/>
      <w:ind w:left="708" w:right="567"/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Ruller4">
    <w:name w:val="Ruller4 תו"/>
    <w:link w:val="Ruller40"/>
    <w:locked/>
    <w:rsid w:val="000A1BB9"/>
    <w:rPr>
      <w:rFonts w:ascii="Arial TUR" w:eastAsia="Times New Roman" w:hAnsi="Arial TUR" w:cs="FrankRuehl"/>
      <w:spacing w:val="10"/>
      <w:szCs w:val="28"/>
    </w:rPr>
  </w:style>
  <w:style w:type="paragraph" w:customStyle="1" w:styleId="Ruller40">
    <w:name w:val="Ruller4"/>
    <w:basedOn w:val="a"/>
    <w:link w:val="Ruller4"/>
    <w:rsid w:val="000A1BB9"/>
    <w:pPr>
      <w:tabs>
        <w:tab w:val="left" w:pos="800"/>
      </w:tabs>
      <w:overflowPunct w:val="0"/>
      <w:autoSpaceDE w:val="0"/>
      <w:autoSpaceDN w:val="0"/>
      <w:adjustRightInd w:val="0"/>
      <w:spacing w:line="360" w:lineRule="auto"/>
      <w:jc w:val="both"/>
    </w:pPr>
    <w:rPr>
      <w:rFonts w:ascii="Arial TUR" w:hAnsi="Arial TUR" w:cs="FrankRuehl"/>
      <w:spacing w:val="10"/>
      <w:sz w:val="22"/>
      <w:szCs w:val="28"/>
    </w:rPr>
  </w:style>
  <w:style w:type="paragraph" w:customStyle="1" w:styleId="BODYVERDICT">
    <w:name w:val="BODY VERDICT"/>
    <w:basedOn w:val="a"/>
    <w:rsid w:val="000A1BB9"/>
    <w:pPr>
      <w:overflowPunct w:val="0"/>
      <w:autoSpaceDE w:val="0"/>
      <w:autoSpaceDN w:val="0"/>
      <w:adjustRightInd w:val="0"/>
    </w:pPr>
    <w:rPr>
      <w:rFonts w:cs="FrankRuehl"/>
      <w:spacing w:val="10"/>
      <w:sz w:val="22"/>
      <w:szCs w:val="28"/>
    </w:rPr>
  </w:style>
  <w:style w:type="table" w:styleId="a6">
    <w:name w:val="Table Grid"/>
    <w:basedOn w:val="a1"/>
    <w:rsid w:val="000A1BB9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A1BB9"/>
    <w:rPr>
      <w:rFonts w:ascii="Tahoma" w:hAnsi="Tahoma" w:cs="Tahoma"/>
      <w:sz w:val="18"/>
      <w:szCs w:val="18"/>
    </w:rPr>
  </w:style>
  <w:style w:type="character" w:customStyle="1" w:styleId="a8">
    <w:name w:val="טקסט בלונים תו"/>
    <w:basedOn w:val="a0"/>
    <w:link w:val="a7"/>
    <w:uiPriority w:val="99"/>
    <w:semiHidden/>
    <w:rsid w:val="000A1BB9"/>
    <w:rPr>
      <w:rFonts w:ascii="Tahoma" w:eastAsia="Times New Roman" w:hAnsi="Tahoma" w:cs="Tahoma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C1CD8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basedOn w:val="a0"/>
    <w:link w:val="a9"/>
    <w:uiPriority w:val="99"/>
    <w:rsid w:val="009C1CD8"/>
    <w:rPr>
      <w:rFonts w:ascii="Times New Roman" w:eastAsia="Times New Roman" w:hAnsi="Times New Roman" w:cs="David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C1CD8"/>
    <w:pPr>
      <w:tabs>
        <w:tab w:val="center" w:pos="4153"/>
        <w:tab w:val="right" w:pos="8306"/>
      </w:tabs>
    </w:pPr>
  </w:style>
  <w:style w:type="character" w:customStyle="1" w:styleId="ac">
    <w:name w:val="כותרת תחתונה תו"/>
    <w:basedOn w:val="a0"/>
    <w:link w:val="ab"/>
    <w:uiPriority w:val="99"/>
    <w:rsid w:val="009C1CD8"/>
    <w:rPr>
      <w:rFonts w:ascii="Times New Roman" w:eastAsia="Times New Roman" w:hAnsi="Times New Roman" w:cs="Davi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2398</Characters>
  <Application>Microsoft Office Word</Application>
  <DocSecurity>4</DocSecurity>
  <Lines>19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עידו דרויאן-גמליאל</dc:creator>
  <cp:keywords/>
  <dc:description/>
  <cp:lastModifiedBy>רותם כהן</cp:lastModifiedBy>
  <cp:revision>2</cp:revision>
  <dcterms:created xsi:type="dcterms:W3CDTF">2023-11-07T07:40:00Z</dcterms:created>
  <dcterms:modified xsi:type="dcterms:W3CDTF">2023-11-07T07:40:00Z</dcterms:modified>
</cp:coreProperties>
</file>